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bookmarkStart w:id="0" w:name="_GoBack"/>
      <w:bookmarkEnd w:id="0"/>
      <w:r>
        <w:rPr/>
        <w:t xml:space="preserve">                      </w:t>
      </w:r>
    </w:p>
    <w:p>
      <w:pPr>
        <w:pStyle w:val="Normal"/>
        <w:widowControl w:val="false"/>
        <w:suppressAutoHyphens w:val="true"/>
        <w:spacing w:lineRule="auto" w:line="240"/>
        <w:ind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909320</wp:posOffset>
            </wp:positionH>
            <wp:positionV relativeFrom="paragraph">
              <wp:posOffset>8890</wp:posOffset>
            </wp:positionV>
            <wp:extent cx="497205" cy="63754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Cs w:val="20"/>
          <w:lang w:val="sv-SE"/>
        </w:rPr>
        <w:t xml:space="preserve"> </w:t>
      </w:r>
      <w:r>
        <w:rPr>
          <w:rFonts w:eastAsia="Times New Roman" w:cs="Times New Roman"/>
          <w:b/>
          <w:szCs w:val="20"/>
          <w:lang w:val="sv-SE"/>
        </w:rPr>
        <w:t xml:space="preserve">       </w:t>
      </w:r>
      <w:r>
        <w:rPr>
          <w:rFonts w:eastAsia="Times New Roman" w:cs="Times New Roman"/>
          <w:b/>
          <w:szCs w:val="20"/>
          <w:lang w:val="sv-SE"/>
        </w:rPr>
        <w:t>REPUBLIKA HRVATSKA</w:t>
      </w:r>
    </w:p>
    <w:p>
      <w:pPr>
        <w:pStyle w:val="Normal"/>
        <w:widowControl w:val="false"/>
        <w:suppressAutoHyphens w:val="true"/>
        <w:spacing w:lineRule="auto" w:line="240"/>
        <w:rPr>
          <w:rFonts w:eastAsia="Times New Roman" w:cs="Times New Roman"/>
          <w:b/>
          <w:b/>
          <w:szCs w:val="20"/>
          <w:lang w:val="sv-SE"/>
        </w:rPr>
      </w:pPr>
      <w:r>
        <w:rPr>
          <w:rFonts w:eastAsia="Times New Roman" w:cs="Times New Roman"/>
          <w:b/>
          <w:szCs w:val="20"/>
          <w:lang w:val="sv-SE"/>
        </w:rPr>
        <w:t>OSJEČKO - BARANJSKA ŽUPANIJA</w:t>
      </w:r>
    </w:p>
    <w:p>
      <w:pPr>
        <w:pStyle w:val="Normal"/>
        <w:widowControl w:val="false"/>
        <w:suppressAutoHyphens w:val="true"/>
        <w:spacing w:lineRule="auto" w:line="240"/>
        <w:rPr>
          <w:rFonts w:eastAsia="Times New Roman" w:cs="Times New Roman"/>
          <w:b/>
          <w:b/>
          <w:szCs w:val="20"/>
          <w:lang w:val="sv-SE"/>
        </w:rPr>
      </w:pPr>
      <w:r>
        <w:rPr>
          <w:rFonts w:eastAsia="Times New Roman" w:cs="Times New Roman"/>
          <w:b/>
          <w:szCs w:val="20"/>
          <w:lang w:val="sv-SE"/>
        </w:rPr>
        <w:t>OPĆINA PODRAVSKA MOSLAVINA</w:t>
      </w:r>
    </w:p>
    <w:p>
      <w:pPr>
        <w:pStyle w:val="Normal"/>
        <w:widowControl w:val="false"/>
        <w:suppressAutoHyphens w:val="true"/>
        <w:spacing w:lineRule="auto" w:line="240"/>
        <w:ind w:hanging="0"/>
        <w:rPr/>
      </w:pPr>
      <w:r>
        <w:rPr>
          <w:rFonts w:eastAsia="Times New Roman" w:cs="Times New Roman"/>
          <w:b/>
          <w:szCs w:val="20"/>
          <w:lang w:val="sv-SE"/>
        </w:rPr>
        <w:t xml:space="preserve">            </w:t>
      </w:r>
      <w:r>
        <w:rPr>
          <w:rFonts w:eastAsia="Times New Roman" w:cs="Times New Roman"/>
          <w:b/>
          <w:szCs w:val="20"/>
          <w:lang w:val="sv-SE"/>
        </w:rPr>
        <w:t>OPĆINSKO VIJEĆE</w:t>
      </w:r>
    </w:p>
    <w:p>
      <w:pPr>
        <w:pStyle w:val="Normal"/>
        <w:widowControl w:val="false"/>
        <w:suppressAutoHyphens w:val="true"/>
        <w:spacing w:lineRule="auto" w:line="240"/>
        <w:rPr>
          <w:rFonts w:eastAsia="Times New Roman" w:cs="Times New Roman"/>
          <w:b/>
          <w:b/>
          <w:szCs w:val="20"/>
          <w:lang w:val="sv-SE"/>
        </w:rPr>
      </w:pPr>
      <w:r>
        <w:rPr>
          <w:rFonts w:eastAsia="Times New Roman" w:cs="Times New Roman"/>
          <w:b/>
          <w:szCs w:val="20"/>
          <w:lang w:val="sv-SE"/>
        </w:rPr>
      </w:r>
    </w:p>
    <w:p>
      <w:pPr>
        <w:pStyle w:val="Normal"/>
        <w:widowControl w:val="false"/>
        <w:suppressAutoHyphens w:val="true"/>
        <w:spacing w:lineRule="auto" w:line="240"/>
        <w:rPr/>
      </w:pPr>
      <w:r>
        <w:rPr>
          <w:rFonts w:eastAsia="Times New Roman" w:cs="Times New Roman"/>
          <w:szCs w:val="20"/>
          <w:lang w:val="sv-SE"/>
        </w:rPr>
        <w:t>KLASA: 02</w:t>
      </w:r>
      <w:r>
        <w:rPr>
          <w:rFonts w:eastAsia="Times New Roman" w:cs="Times New Roman"/>
          <w:szCs w:val="20"/>
          <w:lang w:val="sv-SE"/>
        </w:rPr>
        <w:t>1</w:t>
      </w:r>
      <w:r>
        <w:rPr>
          <w:rFonts w:eastAsia="Times New Roman" w:cs="Times New Roman"/>
          <w:szCs w:val="20"/>
          <w:lang w:val="sv-SE"/>
        </w:rPr>
        <w:t>-0</w:t>
      </w:r>
      <w:r>
        <w:rPr>
          <w:rFonts w:eastAsia="Times New Roman" w:cs="Times New Roman"/>
          <w:szCs w:val="20"/>
          <w:lang w:val="sv-SE"/>
        </w:rPr>
        <w:t>1</w:t>
      </w:r>
      <w:r>
        <w:rPr>
          <w:rFonts w:eastAsia="Times New Roman" w:cs="Times New Roman"/>
          <w:szCs w:val="20"/>
          <w:lang w:val="sv-SE"/>
        </w:rPr>
        <w:t>/18-01/</w:t>
      </w:r>
      <w:r>
        <w:rPr>
          <w:rFonts w:eastAsia="Times New Roman" w:cs="Times New Roman"/>
          <w:szCs w:val="20"/>
          <w:lang w:val="sv-SE"/>
        </w:rPr>
        <w:t>01</w:t>
      </w:r>
    </w:p>
    <w:p>
      <w:pPr>
        <w:pStyle w:val="Normal"/>
        <w:widowControl w:val="false"/>
        <w:suppressAutoHyphens w:val="true"/>
        <w:spacing w:lineRule="auto" w:line="240"/>
        <w:rPr/>
      </w:pPr>
      <w:r>
        <w:rPr>
          <w:rFonts w:eastAsia="Times New Roman" w:cs="Times New Roman"/>
          <w:szCs w:val="20"/>
          <w:lang w:val="sv-SE"/>
        </w:rPr>
        <w:t>URBROJ: 2115/03-01-18-1</w:t>
      </w:r>
    </w:p>
    <w:p>
      <w:pPr>
        <w:pStyle w:val="Normal"/>
        <w:widowControl w:val="false"/>
        <w:suppressAutoHyphens w:val="true"/>
        <w:spacing w:lineRule="auto" w:line="240"/>
        <w:rPr>
          <w:rFonts w:eastAsia="Times New Roman" w:cs="Times New Roman"/>
          <w:szCs w:val="20"/>
          <w:lang w:val="sv-SE"/>
        </w:rPr>
      </w:pPr>
      <w:r>
        <w:rPr>
          <w:rFonts w:eastAsia="Times New Roman" w:cs="Times New Roman"/>
          <w:szCs w:val="20"/>
          <w:lang w:val="sv-SE"/>
        </w:rPr>
        <w:t>Podravska Moslavina, 26. studenog 2018. g.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Na temelju članka 14. i 33. Zakona o proračunu (»Narodne novine« broj Narodne novine 87/08, 136/12, 15/15 ) i članka 28. Statuta Općine Podravska Moslavina („Službeni glasnik“ broj 1/18.) Općinsko vijeće Općine Podravska Moslavina na svojoj 13. sjednici održanoj dana 26. studenog 2018. godine donosi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PLAN RAZVOJNIH PROGRAMA OPĆINE PODRAVSKA MOSLAVINA </w:t>
      </w:r>
    </w:p>
    <w:p>
      <w:pPr>
        <w:pStyle w:val="Normal"/>
        <w:jc w:val="center"/>
        <w:rPr>
          <w:b/>
          <w:b/>
        </w:rPr>
      </w:pPr>
      <w:r>
        <w:rPr>
          <w:b/>
        </w:rPr>
        <w:t>za razdoblje 2019.-2021. godine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Članak 1.</w:t>
      </w:r>
    </w:p>
    <w:p>
      <w:pPr>
        <w:pStyle w:val="Normal"/>
        <w:ind w:firstLine="708"/>
        <w:jc w:val="both"/>
        <w:rPr/>
      </w:pPr>
      <w:r>
        <w:rPr/>
        <w:t>Planom razvojnih programa definiraju se ciljevi i prioriteti razvoja Općine Podravska Moslavina povezani s programskom i organizacijskom klasifikacijom proračuna.</w:t>
      </w:r>
    </w:p>
    <w:tbl>
      <w:tblPr>
        <w:tblpPr w:bottomFromText="0" w:horzAnchor="margin" w:leftFromText="180" w:rightFromText="180" w:tblpX="0" w:tblpXSpec="center" w:tblpY="638" w:topFromText="0" w:vertAnchor="text"/>
        <w:tblW w:w="1076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710"/>
        <w:gridCol w:w="990"/>
        <w:gridCol w:w="850"/>
        <w:gridCol w:w="1134"/>
        <w:gridCol w:w="2552"/>
        <w:gridCol w:w="991"/>
        <w:gridCol w:w="1276"/>
        <w:gridCol w:w="1276"/>
      </w:tblGrid>
      <w:tr>
        <w:trPr>
          <w:trHeight w:val="300" w:hRule="atLeast"/>
        </w:trPr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>
            <w:pPr>
              <w:pStyle w:val="Normal"/>
              <w:ind w:left="-101" w:right="-111" w:hanging="0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>
            <w:pPr>
              <w:pStyle w:val="Normal"/>
              <w:ind w:left="-113" w:right="-114" w:hanging="0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2019.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PROJEKCIJA 2020.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PROJEKCIJA 2021.</w:t>
            </w:r>
          </w:p>
        </w:tc>
      </w:tr>
      <w:tr>
        <w:trPr>
          <w:trHeight w:val="375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ind w:left="-101" w:right="-111" w:hanging="0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tcW w:w="9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66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CILJ 1. POBOLJŠANJE KVALITETE ŽIVOTA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Mjera 1.2.  Uređenje , jačanje i razvoj komunalne infrastrukture i opremanje objekata od javnog interesa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1.280.000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25.000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25.000</w:t>
            </w:r>
          </w:p>
        </w:tc>
      </w:tr>
      <w:tr>
        <w:trPr>
          <w:trHeight w:val="360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Postrojenja, oprema i prijevozna sredstva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rPr>
          <w:trHeight w:val="54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     </w:t>
            </w: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uredske opreme i namještaja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</w:tr>
      <w:tr>
        <w:trPr>
          <w:trHeight w:val="60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dječjeg igrališta u P. Moslavini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Pokretno reciklažno dvorište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Opremanje vrtića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Prijevozna sredstva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rPr>
          <w:trHeight w:val="614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CILJ 2. ODRŽIV REGIONALNI I GOSPODARSKI RAZVOJ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Pomoći, Min. reg. razvoja,  Fond za zaštitu okoliša, Minist. demografije, fondovi EU, drugi izvori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14.910.000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4.510.000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CE6F1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4.000.000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autobusnog stajališta u Radićevoj ulici i Krčeniku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grobljima u P. Moslavini, Krčeniku i M. Martincima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1021/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i dogradnja zgrade stare O.Š. u P. Moslavini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i izgradnja poljskih putova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Društvenog doma i izgradnja ljetne pozornice u P. Moslavini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1030/</w:t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i opremanje Mjesnog doma (kulture) u Krčeniku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 u Podravskoj Moslavini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nogostupa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vrtića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3.600.000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biciklističke staze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>
        <w:trPr>
          <w:trHeight w:val="614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rPr>
          <w:trHeight w:val="614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rPr>
          <w:trHeight w:val="614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rPr>
          <w:trHeight w:val="614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cs="Arial" w:ascii="Arial Narrow" w:hAnsi="Arial Narrow"/>
                <w:bCs/>
                <w:sz w:val="22"/>
              </w:rPr>
              <w:t>CILJ 3. UČINKOVITO UPRAVLJANJE RAZVOJEM I RAZVOJNIM RESURSIMA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cs="Arial" w:ascii="Arial Narrow" w:hAnsi="Arial Narrow"/>
                <w:bCs/>
                <w:sz w:val="22"/>
              </w:rPr>
              <w:t>Mjera 1.1. Prostorno planiranje, zemljišta, projektna dokumentacija i licence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pomoći, Minist. graditeljst.i prost.uređ., Mininst. demografije, fondovi EU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632.000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52.000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52.000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Nematerijalna imovina i zemljišta: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2.000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</w:t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Društvenog doma i izgradnje ljetne pozornice u P. Moslavini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nogostupa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objekat Karaula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strategiju razvoja turizma Općina P. Moslavina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biciklističke staze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>
        <w:trPr>
          <w:trHeight w:val="614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rPr>
          <w:trHeight w:val="614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rPr>
          <w:trHeight w:val="367" w:hRule="atLeast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cs="Arial" w:ascii="Arial Narrow" w:hAnsi="Arial Narrow"/>
                <w:bCs/>
                <w:sz w:val="22"/>
              </w:rPr>
              <w:t>CILJ 3. UREĐENJE I OKOLIŠA I JAVNIH POVRŠINA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cs="Arial" w:ascii="Arial Narrow" w:hAnsi="Arial Narrow"/>
                <w:bCs/>
                <w:sz w:val="22"/>
              </w:rPr>
              <w:t>Mjera 1.1. Višegodišnji nasadi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5.000</w:t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Višegodišnji nasadi: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rPr>
          <w:trHeight w:val="6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 Narrow" w:hAnsi="Arial Narrow" w:eastAsia="Times New Roman" w:cs="Arial"/>
                <w:bCs/>
                <w:sz w:val="22"/>
                <w:lang w:eastAsia="hr-HR"/>
              </w:rPr>
            </w:pPr>
            <w:r>
              <w:rPr>
                <w:rFonts w:eastAsia="Times New Roman" w:cs="Arial" w:ascii="Arial Narrow" w:hAnsi="Arial Narrow"/>
                <w:bCs/>
                <w:sz w:val="22"/>
                <w:lang w:eastAsia="hr-HR"/>
              </w:rPr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jc w:val="center"/>
        <w:rPr>
          <w:rFonts w:eastAsia="Calibri" w:cs="Times New Roman"/>
          <w:b/>
          <w:b/>
          <w:szCs w:val="24"/>
        </w:rPr>
      </w:pPr>
      <w:r>
        <w:rPr>
          <w:rFonts w:eastAsia="Calibri" w:cs="Times New Roman"/>
          <w:b/>
          <w:szCs w:val="24"/>
        </w:rPr>
        <w:t>Članak 2.</w:t>
      </w:r>
    </w:p>
    <w:p>
      <w:pPr>
        <w:pStyle w:val="Normal"/>
        <w:spacing w:lineRule="auto" w:line="240"/>
        <w:ind w:firstLine="720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Ovaj Plan razvojnih programa Općine Podravska Moslavina objaviti će se u "Službenom glasniku Općine Podravska Moslavina“.</w:t>
      </w:r>
    </w:p>
    <w:p>
      <w:pPr>
        <w:pStyle w:val="Normal"/>
        <w:spacing w:lineRule="auto" w:line="240"/>
        <w:ind w:firstLine="720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</w:r>
    </w:p>
    <w:p>
      <w:pPr>
        <w:pStyle w:val="Normal"/>
        <w:spacing w:lineRule="auto" w:line="240"/>
        <w:ind w:firstLine="720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ind w:firstLine="720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</w:r>
    </w:p>
    <w:p>
      <w:pPr>
        <w:pStyle w:val="Normal"/>
        <w:spacing w:lineRule="auto" w:line="240"/>
        <w:jc w:val="center"/>
        <w:rPr>
          <w:rFonts w:eastAsia="Times New Roman" w:cs="Times New Roman"/>
          <w:bCs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ab/>
        <w:tab/>
        <w:tab/>
        <w:tab/>
        <w:tab/>
        <w:tab/>
        <w:t xml:space="preserve">  PREDSJEDNIK OPĆINSKOG VIJEĆA</w:t>
      </w:r>
    </w:p>
    <w:p>
      <w:pPr>
        <w:pStyle w:val="Normal"/>
        <w:spacing w:lineRule="auto" w:line="240" w:before="4" w:after="4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ab/>
        <w:tab/>
        <w:tab/>
        <w:tab/>
        <w:tab/>
        <w:tab/>
        <w:tab/>
        <w:t xml:space="preserve">       Hrvoje Pavin, dipl.ing.građ.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41a48"/>
    <w:pPr>
      <w:widowControl/>
      <w:bidi w:val="0"/>
      <w:spacing w:lineRule="auto" w:line="276" w:before="0" w:after="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41a4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LibreOffice/5.2.3.3$Windows_x86 LibreOffice_project/d54a8868f08a7b39642414cf2c8ef2f228f780cf</Application>
  <Pages>4</Pages>
  <Words>712</Words>
  <Characters>4006</Characters>
  <CharactersWithSpaces>4460</CharactersWithSpaces>
  <Paragraphs>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2018-12-10T11:53:00Z</dcterms:created>
  <dc:creator>Korisnik</dc:creator>
  <dc:description/>
  <dc:language>hr-HR</dc:language>
  <cp:lastModifiedBy/>
  <dcterms:modified xsi:type="dcterms:W3CDTF">2018-12-11T15:07:20Z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